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  <w:lang w:val="cs-CZ"/>
        </w:rPr>
        <w:t xml:space="preserve">Výstražné upozornění a bezpečnostní upozornění 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>Složka A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caps w:val="false"/>
          <w:smallCaps w:val="false"/>
          <w:color w:val="000000"/>
          <w:spacing w:val="0"/>
        </w:rPr>
        <w:drawing>
          <wp:inline distT="0" distB="0" distL="0" distR="0">
            <wp:extent cx="571500" cy="571500"/>
            <wp:effectExtent l="0" t="0" r="0" b="0"/>
            <wp:docPr id="1" name="Obrázek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 xml:space="preserve">, </w:t>
      </w: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drawing>
          <wp:inline distT="0" distB="0" distL="0" distR="0">
            <wp:extent cx="571500" cy="571500"/>
            <wp:effectExtent l="0" t="0" r="0" b="0"/>
            <wp:docPr id="2" name="Obrázek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>Nebezpečí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>Obsahuje nebezpečné látky: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 xml:space="preserve"> </w:t>
      </w:r>
    </w:p>
    <w:p>
      <w:pPr>
        <w:pStyle w:val="Tlotextu"/>
        <w:rPr>
          <w:b/>
          <w:b/>
          <w:bCs/>
          <w:sz w:val="18"/>
          <w:szCs w:val="18"/>
          <w:highlight w:val="lightGray"/>
        </w:rPr>
      </w:pPr>
      <w:r>
        <w:rPr>
          <w:rFonts w:ascii="sans-serif" w:hAnsi="sans-serif"/>
          <w:sz w:val="15"/>
        </w:rPr>
        <w:t>aceton; n-butyl-acetát ; vhodná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směs : a-hydro-co- {3- [3- (2H-benzotriazol-2-yl) -5-terc-butyl-4-hydroxy-fenyl] propanoyloxy} poly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(oxyetylen) a- {3- [3- (2H-benzotriazol-2-yl) -5-terc-butyl-4-hydroxy-fenyl] propanoyl} -ω- {3- [3- (2H-benzotriazol-2-yl) -5-terc-butyl-4-hydroxyfenyl] propanoyloxy} poly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(oxyethylen); reakční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hmota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bis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(1,2,2,6,6-pentametyl -4-piperidyl) sebakátu a metyl 1,2,2,6,6-pentametyl-4-piperidyl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sebakátu; těžký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benzin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(ropný), lehce</w:t>
      </w:r>
      <w:r>
        <w:rPr>
          <w:rFonts w:ascii="sans-serif" w:hAnsi="sans-serif"/>
          <w:sz w:val="18"/>
        </w:rPr>
        <w:t xml:space="preserve"> </w:t>
      </w:r>
      <w:r>
        <w:rPr>
          <w:rFonts w:ascii="sans-serif" w:hAnsi="sans-serif"/>
          <w:sz w:val="15"/>
        </w:rPr>
        <w:t>aromatický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>Výstražné upozornění: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5"/>
        </w:rPr>
        <w:t>H225</w:t>
      </w: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7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5"/>
        </w:rPr>
        <w:t>- Vysoce hořlavá kapalina a páry.H317 - Může vyvolat alergickou kožní reakci.H319 - Způsobuje vážné podráždění očí.H336 - Může způsobit ospalost nebo závratě.H412 - Škodlivý pro vodní organismy, s dlouhodobými účinky. EUH066 - Opakovaná expozice může způsobit vysušení nebo popraskání kůže.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>Bezpečnostní upozornění: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5"/>
        </w:rPr>
        <w:t>P210 - Chraňte před teplem, horkými povrchy, jiskrami, otevřeným ohněm a jinými zdroji zapálení. Zákaz kouření.P261 - Zamezte vdechování aerosoly, páry, dýmu.P264 - Po manipulaci důkladně omyjte ruce.P280 - Používejte obličejový štít, ochranný oděv, ochranné rukavice.P337+P313 - Přetrvává-li podráždění očí: Vyhledejte lékařskou pomoc/ošetření.P501 - Odstraňte obsah a obal/kontejner ve sběrném místě pro nebezpečné nebo zvláštní odpady v</w:t>
      </w: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7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5"/>
        </w:rPr>
        <w:t>souladu smístními, národními nebo mezinárodními předpisy.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>Složka B - Tužidlo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caps w:val="false"/>
          <w:smallCaps w:val="false"/>
          <w:color w:val="000000"/>
          <w:spacing w:val="0"/>
        </w:rPr>
        <w:drawing>
          <wp:inline distT="0" distB="0" distL="0" distR="0">
            <wp:extent cx="571500" cy="571500"/>
            <wp:effectExtent l="0" t="0" r="0" b="0"/>
            <wp:docPr id="3" name="Obrázek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 xml:space="preserve">, </w:t>
      </w: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drawing>
          <wp:inline distT="0" distB="0" distL="0" distR="0">
            <wp:extent cx="571500" cy="571500"/>
            <wp:effectExtent l="0" t="0" r="0" b="0"/>
            <wp:docPr id="4" name="Obrázek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 xml:space="preserve">, </w:t>
      </w: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drawing>
          <wp:inline distT="0" distB="0" distL="0" distR="0">
            <wp:extent cx="571500" cy="571500"/>
            <wp:effectExtent l="0" t="0" r="0" b="0"/>
            <wp:docPr id="5" name="Obrázek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5"/>
        </w:rPr>
        <w:t>Varování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 xml:space="preserve">Obsahuje nebezpečné látky: 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5"/>
        </w:rPr>
        <w:t>et ylbenzen; hexametylen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5"/>
        </w:rPr>
        <w:t>diisokyanat, oligomery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>Výstražné upozornění: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15"/>
        </w:rPr>
        <w:t>H226 - Hořlavá kapalina a páry.H315 - Dráždí kůži.H317 - Může vyvolat alergickou kožní reakci.H335 - Může způsobit podráždění dýchacích cest.H373 - Může způsobit poškození orgánů (sluchový orgán) při prodloužené nebo opakované expozici (vdechování). EUH204 - Obsahuje isokyanáty. Může vyvolat alergickou reakci.</w:t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/>
      </w:r>
    </w:p>
    <w:p>
      <w:pPr>
        <w:pStyle w:val="Tlotextu"/>
        <w:widowControl/>
        <w:pBdr/>
        <w:spacing w:before="0" w:after="0"/>
        <w:ind w:left="0" w:right="0" w:hanging="0"/>
        <w:rPr>
          <w:b/>
          <w:b/>
          <w:bCs/>
          <w:sz w:val="18"/>
          <w:szCs w:val="18"/>
          <w:highlight w:val="lightGray"/>
        </w:rPr>
      </w:pPr>
      <w:r>
        <w:rPr>
          <w:rStyle w:val="Silnzdraznn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5"/>
        </w:rPr>
        <w:t>Bezpečnostní upozornění:</w:t>
      </w:r>
    </w:p>
    <w:p>
      <w:pPr>
        <w:pStyle w:val="Tlotextu"/>
        <w:rPr>
          <w:b/>
          <w:b/>
          <w:bCs/>
          <w:sz w:val="18"/>
          <w:szCs w:val="18"/>
          <w:highlight w:val="lightGray"/>
        </w:rPr>
      </w:pPr>
      <w:r>
        <w:rPr>
          <w:rFonts w:ascii="sans-serif" w:hAnsi="sans-serif"/>
          <w:sz w:val="15"/>
        </w:rPr>
        <w:t>P210 - Chraňte před teplem, horkými povrchy, jiskrami, otevřeným ohněm a jinými zdroji zapálení. Zákaz kouření.P260 - Nevdechujte aerosoly, páry.P264 - Po manipulaci důkladně omyjte ruce.P280 - Používejte obličejový štít, ochranný oděv, ochranné rukavice.P333+P313 - Při podráždění kůže nebo vyrážce: Vyhledejte lékařskou pomoc/ošetření.P501 - Odstraňte obsah a obal/kontejner ve sběrném místě pro nebezpečné nebo zvláštní odpady v</w:t>
      </w:r>
      <w:r>
        <w:rPr/>
        <w:t xml:space="preserve"> </w:t>
      </w:r>
      <w:r>
        <w:rPr>
          <w:rFonts w:ascii="sans-serif" w:hAnsi="sans-serif"/>
          <w:sz w:val="15"/>
        </w:rPr>
        <w:t>souladu smístními, národními nebo mezinárodními předpisy.</w:t>
      </w:r>
    </w:p>
    <w:p>
      <w:pPr>
        <w:pStyle w:val="Normal"/>
        <w:spacing w:before="0" w:after="160"/>
        <w:rPr>
          <w:b/>
          <w:b/>
          <w:bCs/>
          <w:sz w:val="18"/>
          <w:szCs w:val="18"/>
          <w:highlight w:val="lightGray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altName w:val="Arial"/>
    <w:charset w:val="ee"/>
    <w:family w:val="auto"/>
    <w:pitch w:val="default"/>
  </w:font>
  <w:font w:name="sans-serif">
    <w:altName w:val="Arial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8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9015"/>
      <w:gridCol w:w="60"/>
      <w:gridCol w:w="795"/>
    </w:tblGrid>
    <w:tr>
      <w:trPr/>
      <w:tc>
        <w:tcPr>
          <w:tcW w:w="9015" w:type="dxa"/>
          <w:tcBorders/>
          <w:vAlign w:val="center"/>
        </w:tcPr>
        <w:p>
          <w:pPr>
            <w:pStyle w:val="Zhlav"/>
            <w:widowControl w:val="false"/>
            <w:tabs>
              <w:tab w:val="center" w:pos="4680" w:leader="none"/>
              <w:tab w:val="left" w:pos="8835" w:leader="none"/>
              <w:tab w:val="right" w:pos="9360" w:leader="none"/>
            </w:tabs>
            <w:suppressAutoHyphens w:val="true"/>
            <w:bidi w:val="0"/>
            <w:spacing w:lineRule="auto" w:line="240" w:before="0" w:after="0"/>
            <w:ind w:left="57" w:right="-283" w:hanging="57"/>
            <w:jc w:val="center"/>
            <w:rPr>
              <w:b/>
              <w:b/>
              <w:bCs/>
              <w:sz w:val="22"/>
              <w:szCs w:val="22"/>
            </w:rPr>
          </w:pPr>
          <w:r>
            <w:rPr>
              <w:rFonts w:eastAsia="Calibri" w:cs=""/>
              <w:b/>
              <w:bCs/>
              <w:kern w:val="0"/>
              <w:sz w:val="22"/>
              <w:szCs w:val="22"/>
              <w:lang w:val="cs-CZ" w:eastAsia="en-US" w:bidi="ar-SA"/>
            </w:rPr>
            <w:t>Distributor pro Českou Republiku je www.bencolor.cz</w:t>
          </w:r>
        </w:p>
      </w:tc>
      <w:tc>
        <w:tcPr>
          <w:tcW w:w="60" w:type="dxa"/>
          <w:tcBorders/>
        </w:tcPr>
        <w:p>
          <w:pPr>
            <w:pStyle w:val="Zhlav"/>
            <w:widowControl w:val="false"/>
            <w:suppressAutoHyphens w:val="true"/>
            <w:bidi w:val="0"/>
            <w:spacing w:before="0" w:after="0"/>
            <w:ind w:hanging="0"/>
            <w:jc w:val="center"/>
            <w:rPr>
              <w:rFonts w:ascii="Calibri" w:hAnsi="Calibri" w:eastAsia="Calibri" w:cs=""/>
              <w:kern w:val="0"/>
              <w:sz w:val="18"/>
              <w:szCs w:val="18"/>
              <w:lang w:val="cs-CZ" w:eastAsia="en-US" w:bidi="ar-SA"/>
            </w:rPr>
          </w:pPr>
          <w:r>
            <w:rPr>
              <w:rFonts w:eastAsia="Calibri" w:cs=""/>
              <w:kern w:val="0"/>
              <w:sz w:val="18"/>
              <w:szCs w:val="18"/>
              <w:lang w:val="cs-CZ" w:eastAsia="en-US" w:bidi="ar-SA"/>
            </w:rPr>
            <w:fldChar w:fldCharType="begin"/>
          </w:r>
          <w:r>
            <w:rPr>
              <w:sz w:val="18"/>
              <w:kern w:val="0"/>
              <w:szCs w:val="18"/>
              <w:rFonts w:eastAsia="Calibri" w:cs=""/>
              <w:lang w:val="cs-CZ" w:eastAsia="en-US" w:bidi="ar-SA"/>
            </w:rPr>
            <w:instrText> PAGE </w:instrText>
          </w:r>
          <w:r>
            <w:rPr>
              <w:sz w:val="18"/>
              <w:kern w:val="0"/>
              <w:szCs w:val="18"/>
              <w:rFonts w:eastAsia="Calibri" w:cs=""/>
              <w:lang w:val="cs-CZ" w:eastAsia="en-US" w:bidi="ar-SA"/>
            </w:rPr>
            <w:fldChar w:fldCharType="separate"/>
          </w:r>
          <w:r>
            <w:rPr>
              <w:sz w:val="18"/>
              <w:kern w:val="0"/>
              <w:szCs w:val="18"/>
              <w:rFonts w:eastAsia="Calibri" w:cs=""/>
              <w:lang w:val="cs-CZ" w:eastAsia="en-US" w:bidi="ar-SA"/>
            </w:rPr>
            <w:t>5</w:t>
          </w:r>
          <w:r>
            <w:rPr>
              <w:sz w:val="18"/>
              <w:kern w:val="0"/>
              <w:szCs w:val="18"/>
              <w:rFonts w:eastAsia="Calibri" w:cs=""/>
              <w:lang w:val="cs-CZ" w:eastAsia="en-US" w:bidi="ar-SA"/>
            </w:rPr>
            <w:fldChar w:fldCharType="end"/>
          </w:r>
        </w:p>
      </w:tc>
      <w:tc>
        <w:tcPr>
          <w:tcW w:w="795" w:type="dxa"/>
          <w:tcBorders/>
        </w:tcPr>
        <w:p>
          <w:pPr>
            <w:pStyle w:val="Zhlav"/>
            <w:widowControl w:val="false"/>
            <w:suppressAutoHyphens w:val="true"/>
            <w:bidi w:val="0"/>
            <w:spacing w:lineRule="auto" w:line="240" w:beforeAutospacing="0" w:before="0" w:afterAutospacing="0" w:after="0"/>
            <w:ind w:left="0" w:right="-115" w:hanging="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tc>
    </w:tr>
  </w:tbl>
  <w:p>
    <w:pPr>
      <w:pStyle w:val="Zpat"/>
      <w:bidi w:val="0"/>
      <w:rPr/>
    </w:pPr>
    <w:r>
      <w:rPr/>
      <w:tab/>
      <w:t xml:space="preserve">                                                                                                                          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8895"/>
      <w:gridCol w:w="58"/>
      <w:gridCol w:w="62"/>
    </w:tblGrid>
    <w:tr>
      <w:trPr/>
      <w:tc>
        <w:tcPr>
          <w:tcW w:w="8895" w:type="dxa"/>
          <w:tcBorders/>
          <w:vAlign w:val="center"/>
        </w:tcPr>
        <w:p>
          <w:pPr>
            <w:pStyle w:val="Zhlav"/>
            <w:widowControl w:val="false"/>
            <w:suppressAutoHyphens w:val="true"/>
            <w:bidi w:val="0"/>
            <w:spacing w:before="0" w:after="0"/>
            <w:ind w:left="-115" w:hanging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/>
            <w:drawing>
              <wp:inline distT="0" distB="0" distL="0" distR="0">
                <wp:extent cx="5480050" cy="360045"/>
                <wp:effectExtent l="0" t="0" r="0" b="0"/>
                <wp:docPr id="6" name="Obrázek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0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  <w:t xml:space="preserve">  </w:t>
          </w:r>
        </w:p>
        <w:p>
          <w:pPr>
            <w:pStyle w:val="Zhlav"/>
            <w:widowControl w:val="false"/>
            <w:suppressAutoHyphens w:val="true"/>
            <w:bidi w:val="0"/>
            <w:spacing w:before="0" w:after="0"/>
            <w:ind w:left="-115" w:hanging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</w:r>
        </w:p>
        <w:p>
          <w:pPr>
            <w:pStyle w:val="Zhlav"/>
            <w:widowControl w:val="false"/>
            <w:suppressAutoHyphens w:val="true"/>
            <w:bidi w:val="0"/>
            <w:spacing w:before="0" w:after="0"/>
            <w:ind w:left="-115" w:hanging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  <w:t>BEZPEČNOSTNÍ LIST</w:t>
          </w:r>
        </w:p>
        <w:p>
          <w:pPr>
            <w:pStyle w:val="Zhlav"/>
            <w:widowControl w:val="false"/>
            <w:suppressAutoHyphens w:val="true"/>
            <w:bidi w:val="0"/>
            <w:spacing w:before="0" w:after="0"/>
            <w:ind w:left="-115" w:hanging="0"/>
            <w:jc w:val="center"/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  <w:t xml:space="preserve">  </w:t>
          </w:r>
          <w:r>
            <w:rPr>
              <w:rFonts w:eastAsia="Calibri" w:cs=""/>
              <w:b/>
              <w:bCs/>
              <w:kern w:val="0"/>
              <w:sz w:val="22"/>
              <w:szCs w:val="22"/>
              <w:lang w:val="cs-CZ" w:eastAsia="en-US" w:bidi="ar-SA"/>
            </w:rPr>
            <w:t xml:space="preserve"> </w:t>
          </w:r>
          <w:r>
            <w:rPr>
              <w:rFonts w:eastAsia="Calibri" w:cs=""/>
              <w:b/>
              <w:bCs/>
              <w:kern w:val="0"/>
              <w:sz w:val="22"/>
              <w:szCs w:val="22"/>
              <w:lang w:val="cs-CZ" w:eastAsia="en-US" w:bidi="ar-SA"/>
            </w:rPr>
            <w:t>RAPTOR ČERNÝ</w:t>
          </w:r>
        </w:p>
      </w:tc>
      <w:tc>
        <w:tcPr>
          <w:tcW w:w="58" w:type="dxa"/>
          <w:tcBorders/>
        </w:tcPr>
        <w:p>
          <w:pPr>
            <w:pStyle w:val="Zhlav"/>
            <w:widowControl w:val="false"/>
            <w:suppressAutoHyphens w:val="true"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</w:r>
        </w:p>
      </w:tc>
      <w:tc>
        <w:tcPr>
          <w:tcW w:w="62" w:type="dxa"/>
          <w:tcBorders/>
        </w:tcPr>
        <w:p>
          <w:pPr>
            <w:pStyle w:val="Zhlav"/>
            <w:widowControl w:val="false"/>
            <w:suppressAutoHyphens w:val="true"/>
            <w:bidi w:val="0"/>
            <w:spacing w:before="0" w:after="0"/>
            <w:ind w:right="-115" w:hanging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</w:r>
        </w:p>
      </w:tc>
    </w:tr>
  </w:tbl>
  <w:p>
    <w:pPr>
      <w:pStyle w:val="Zhlav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Symbolyproslovn">
    <w:name w:val="Symboly pro číslování"/>
    <w:qFormat/>
    <w:rPr/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LibreOffice/7.0.4.2$Windows_X86_64 LibreOffice_project/dcf040e67528d9187c66b2379df5ea4407429775</Application>
  <AppVersion>15.0000</AppVersion>
  <Pages>1</Pages>
  <Words>300</Words>
  <Characters>2150</Characters>
  <CharactersWithSpaces>2597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2021-11-16T08:05:42Z</dcterms:created>
  <dc:creator>Vera Vera</dc:creator>
  <dc:description/>
  <dc:language>cs-CZ</dc:language>
  <cp:lastModifiedBy/>
  <dcterms:modified xsi:type="dcterms:W3CDTF">2022-04-12T11:22:53Z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